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EDITABLE REPORT TEMPLATE</w:t>
      </w:r>
    </w:p>
    <w:p>
      <w:pPr>
        <w:spacing w:after="40"/>
      </w:pPr>
      <w:r>
        <w:rPr>
          <w:rFonts w:ascii="Arial" w:hAnsi="Arial"/>
          <w:b/>
          <w:color w:val="11182B"/>
          <w:sz w:val="42"/>
        </w:rPr>
        <w:t>Weekly Status Report Template</w:t>
      </w:r>
    </w:p>
    <w:p>
      <w:pPr>
        <w:spacing w:after="200"/>
      </w:pPr>
      <w:r>
        <w:rPr>
          <w:rFonts w:ascii="Arial" w:hAnsi="Arial"/>
          <w:color w:val="44506A"/>
          <w:sz w:val="20"/>
        </w:rPr>
        <w:t>A simple, repeatable format for sharing what got done, what is in progress, what is next, and what is blocked.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Name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[Name]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Team or project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[Team or project]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Week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[YYYY-MM-DD]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Manager or stakeholders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[Names]</w:t>
            </w:r>
          </w:p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Summary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[Two or three sentences on overall progress and status this week.]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Completed this week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 the work finished this week, with outcomes or impact.]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In progress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 work underway, with expected completion and percent done.]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Planned for next week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 the priorities you plan to work on next.]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Blockers and risks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[List anything slowing you down, decisions needed, or risks to flag.]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Notes and asks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[Anything else to share, or specific help you need.]</w:t>
            </w:r>
          </w:p>
          <w:p/>
          <w:p/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Free weekly status report template - Sandtime.io - free time tracking for unlimited users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Status Report Template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en-US</dc:language>
</cp:coreProperties>
</file>