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" w:after="120"/>
      </w:pPr>
      <w:r>
        <w:rPr>
          <w:rFonts w:ascii="Arial" w:hAnsi="Arial"/>
          <w:b/>
          <w:color w:val="0052CC"/>
          <w:sz w:val="17"/>
        </w:rPr>
        <w:t>EDYTOWALNY SZABLON POLITYKI</w:t>
      </w:r>
    </w:p>
    <w:p>
      <w:pPr>
        <w:spacing w:after="80"/>
      </w:pPr>
      <w:r>
        <w:rPr>
          <w:rFonts w:ascii="Arial" w:hAnsi="Arial"/>
          <w:b/>
          <w:color w:val="051441"/>
          <w:sz w:val="50"/>
        </w:rPr>
        <w:t>Polityka zatwierdzania i korekt kart czasu pracy</w:t>
      </w:r>
    </w:p>
    <w:p>
      <w:pPr>
        <w:spacing w:after="280"/>
      </w:pPr>
      <w:r>
        <w:rPr>
          <w:rFonts w:ascii="Arial" w:hAnsi="Arial"/>
          <w:color w:val="52627F"/>
          <w:sz w:val="23"/>
        </w:rPr>
        <w:t>Praktyczne zasady terminów, weryfikacji, zatwierdzania, korekt, blokowania okresów i zachowania historii zmian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Organizacja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[Nazwa organizacji]</w:t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Właściciel polityki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[Rola lub osoba]</w:t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Data wejścia w życie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[RRRR-MM-DD]</w:t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Cykl przeglądu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[Kwartalnie / rocznie]</w:t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Wersja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[1.0]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shd w:fill="EAF2FF"/>
          </w:tcPr>
          <w:p>
            <w:r>
              <w:rPr>
                <w:rFonts w:ascii="Arial" w:hAnsi="Arial"/>
                <w:b/>
                <w:sz w:val="19"/>
              </w:rPr>
              <w:t>Jak korzystać z szablonu</w:t>
            </w:r>
          </w:p>
          <w:p>
            <w:pPr>
              <w:spacing w:after="0"/>
            </w:pPr>
            <w:r>
              <w:rPr>
                <w:rFonts w:ascii="Arial" w:hAnsi="Arial"/>
                <w:sz w:val="18"/>
              </w:rPr>
              <w:t>Zastąp wyróżnione pola, wybierz opcje zgodne z rzeczywistym procesem, usuń niepotrzebne przykłady i sprawdź ostateczną politykę pod kątem lokalnych wymagań.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shd w:fill="FFF4D6"/>
          </w:tcPr>
          <w:p>
            <w:r>
              <w:rPr>
                <w:rFonts w:ascii="Arial" w:hAnsi="Arial"/>
                <w:b/>
                <w:sz w:val="19"/>
              </w:rPr>
              <w:t>Important</w:t>
            </w:r>
          </w:p>
          <w:p>
            <w:pPr>
              <w:spacing w:after="0"/>
            </w:pPr>
            <w:r>
              <w:rPr>
                <w:rFonts w:ascii="Arial" w:hAnsi="Arial"/>
                <w:sz w:val="18"/>
              </w:rPr>
              <w:t>To ogólne wskazówki organizacyjne, a nie porada prawna, podatkowa, kadrowa, płacowa ani dotycząca prawa pracy lub retencji danych. Dostosuj dokument do obowiązujących przepisów, umów i układów zbiorowych.</w:t>
            </w:r>
          </w:p>
        </w:tc>
      </w:tr>
    </w:tbl>
    <w:p>
      <w:pPr>
        <w:pStyle w:val="Heading1"/>
      </w:pPr>
      <w:r>
        <w:t>1. Cel i zakres</w:t>
      </w:r>
    </w:p>
    <w:p>
      <w:pPr>
        <w:keepLines/>
      </w:pPr>
      <w:r>
        <w:t>Polityka określa, jak [nazwa organizacji] przesyła, sprawdza, zatwierdza, koryguje i blokuje karty czasu pracy na potrzeby [rozliczeń z klientami / danych płacowych / raportowania projektów / ewidencji wewnętrznej].</w:t>
      </w:r>
    </w:p>
    <w:p>
      <w:pPr>
        <w:keepLines/>
      </w:pPr>
      <w:r>
        <w:t>Dotyczy [pracowników / wykonawców / freelancerów / wybranych zespołów] oraz każdej osoby rejestrującej, sprawdzającej, zatwierdzającej, eksportującej lub zmieniającej zapisy czasu.</w:t>
      </w:r>
    </w:p>
    <w:p>
      <w:pPr>
        <w:pStyle w:val="Heading1"/>
      </w:pPr>
      <w:r>
        <w:t>2. Termin przesłania</w:t>
      </w:r>
    </w:p>
    <w:p>
      <w:pPr>
        <w:keepLines/>
      </w:pPr>
      <w:r>
        <w:t>Kompletne karty czasu pracy należy przesłać do [dzień i godzina] za każdy okres [tygodniowy / dwutygodniowy / miesięczny]. Brakujące wpisy trzeba uzupełnić przed przesłaniem.</w:t>
      </w:r>
    </w:p>
    <w:p>
      <w:pPr>
        <w:keepLines/>
      </w:pPr>
      <w:r>
        <w:t>Spóźnienie należy zgłosić przez [kanał] do [rola]. Termin awaryjny to [dzień i godzina], chyba że zatwierdzono wyjątek.</w:t>
      </w:r>
    </w:p>
    <w:p>
      <w:r>
        <w:br w:type="page"/>
      </w:r>
    </w:p>
    <w:p>
      <w:pPr>
        <w:pStyle w:val="Heading1"/>
      </w:pPr>
      <w:r>
        <w:t>3. Lista kontrolna osoby sprawdzającej</w:t>
      </w:r>
    </w:p>
    <w:p>
      <w:pPr>
        <w:keepLines/>
      </w:pPr>
      <w:r>
        <w:t>Należy sprawdzić kompletność dat i czasu, prawidłowe przypisanie projektu i klienta, zgodność statusu rozliczeniowego z zasadami zlecenia, wymagane przerwy i nadgodziny oraz kontekst przy nietypowych wpisach.</w:t>
      </w:r>
    </w:p>
    <w:p>
      <w:pPr>
        <w:keepLines/>
      </w:pPr>
      <w:r>
        <w:t>Osoba sprawdzająca powinna zwrócić kartę do poprawy zamiast po cichu zmieniać przesłany zapis innej osoby.</w:t>
      </w:r>
    </w:p>
    <w:p>
      <w:pPr>
        <w:pStyle w:val="Heading1"/>
      </w:pPr>
      <w:r>
        <w:t>4. Decyzja i termin zatwierdzenia</w:t>
      </w:r>
    </w:p>
    <w:p>
      <w:pPr>
        <w:keepLines/>
      </w:pPr>
      <w:r>
        <w:t>Osoba zatwierdzająca zatwierdza albo zwraca kartę do [termin]. Zwrot zawiera jasną przyczynę i termin poprawy.</w:t>
      </w:r>
    </w:p>
    <w:p>
      <w:pPr>
        <w:keepLines/>
      </w:pPr>
      <w:r>
        <w:t>Zatwierdzenie oznacza gotowość zapisu do wskazanego celu organizacyjnego. Nie zastępuje kontroli płacowej, prawnej, umownej ani podatkowej.</w:t>
      </w:r>
    </w:p>
    <w:p>
      <w:pPr>
        <w:pStyle w:val="Heading1"/>
      </w:pPr>
      <w:r>
        <w:t>5. Korekty przed zatwierdzeniem</w:t>
      </w:r>
    </w:p>
    <w:p>
      <w:pPr>
        <w:keepLines/>
      </w:pPr>
      <w:r>
        <w:t>Osoba rejestrująca czas może poprawić niezatwierdzony wpis. Istotna zmiana powinna zawierać krótkie uzasadnienie, jeżeli przyczyna nie jest oczywista.</w:t>
      </w:r>
    </w:p>
    <w:p>
      <w:pPr>
        <w:keepLines/>
      </w:pPr>
      <w:r>
        <w:t>Jeśli korekta wpływa na kwotę klienta, nadgodziny, urlop lub inny powiązany zapis, należy powiadomić [rola lub zespół] przez [kanał].</w:t>
      </w:r>
    </w:p>
    <w:p>
      <w:r>
        <w:br w:type="page"/>
      </w:r>
    </w:p>
    <w:p>
      <w:pPr>
        <w:pStyle w:val="Heading1"/>
      </w:pPr>
      <w:r>
        <w:t>6. Korekty po zatwierdzeniu lub zablokowaniu</w:t>
      </w:r>
    </w:p>
    <w:p>
      <w:pPr>
        <w:keepLines/>
      </w:pPr>
      <w:r>
        <w:t>Nie wolno nadpisywać zatwierdzonego lub zablokowanego zapisu historycznego bez zachowania wartości pierwotnej, wartości poprawionej, przyczyny, osoby zgłaszającej, osoby zatwierdzającej i daty zmiany.</w:t>
      </w:r>
    </w:p>
    <w:p>
      <w:pPr>
        <w:keepLines/>
      </w:pPr>
      <w:r>
        <w:t>Wniosek o korektę obejmuje [wymagane pola]. Zatwierdza go [rola]. Po zatwierdzeniu [rola lub system] wprowadza korektę i potwierdza, czy trzeba ponownie wygenerować eksporty lub dokumenty rozliczeniowe.</w:t>
      </w:r>
    </w:p>
    <w:p>
      <w:pPr>
        <w:pStyle w:val="Heading1"/>
      </w:pPr>
      <w:r>
        <w:t>7. Blokowanie, dostęp i retencja</w:t>
      </w:r>
    </w:p>
    <w:p>
      <w:pPr>
        <w:keepLines/>
      </w:pPr>
      <w:r>
        <w:t>Okresy są blokowane [automatycznie / ręcznie] po [zatwierdzeniu / liczbie dni]. Odblokowanie wymaga zgody [rola] i zapisania przyczyny.</w:t>
      </w:r>
    </w:p>
    <w:p>
      <w:pPr>
        <w:keepLines/>
      </w:pPr>
      <w:r>
        <w:t>Dostęp mają wyłącznie [role]. Historię zatwierdzeń i korekt przechowuje się przez [okres] zgodnie z zasadami prywatności i retencji organizacji.</w:t>
      </w:r>
    </w:p>
    <w:p>
      <w:pPr>
        <w:pStyle w:val="Heading1"/>
      </w:pPr>
      <w:r>
        <w:t>8. Wyjątki i eskalacja</w:t>
      </w:r>
    </w:p>
    <w:p>
      <w:pPr>
        <w:keepLines/>
      </w:pPr>
      <w:r>
        <w:t>Wyjątek wymaga zgody [rola] oraz wskazania przyczyny, okresu, procesu tymczasowego i daty zakończenia.</w:t>
      </w:r>
    </w:p>
    <w:p>
      <w:pPr>
        <w:keepLines/>
      </w:pPr>
      <w:r>
        <w:t>Pytania i sporne decyzje należy eskalować do [rola lub kanał]. Nie wolno tworzyć nieprawidłowego wpisu w celu obejścia problemu procesowego.</w:t>
      </w:r>
    </w:p>
    <w:p>
      <w:r>
        <w:br w:type="page"/>
      </w:r>
    </w:p>
    <w:p>
      <w:pPr>
        <w:pStyle w:val="Heading1"/>
      </w:pPr>
      <w:r>
        <w:t>Lista wdrożeniowa zatwierdzania i korekt</w:t>
      </w:r>
    </w:p>
    <w:p>
      <w:pPr>
        <w:spacing w:after="80"/>
        <w:ind w:left="259"/>
      </w:pPr>
      <w:r>
        <w:rPr>
          <w:rFonts w:ascii="Arial" w:hAnsi="Arial"/>
          <w:sz w:val="19"/>
        </w:rPr>
        <w:t>☐  Ustal jeden termin przesłania i jeden termin awaryjny.</w:t>
      </w:r>
    </w:p>
    <w:p>
      <w:pPr>
        <w:spacing w:after="80"/>
        <w:ind w:left="259"/>
      </w:pPr>
      <w:r>
        <w:rPr>
          <w:rFonts w:ascii="Arial" w:hAnsi="Arial"/>
          <w:sz w:val="19"/>
        </w:rPr>
        <w:t>☐  Wskaż osoby sprawdzające, zatwierdzające, właścicieli korekt i kontakty eskalacyjne.</w:t>
      </w:r>
    </w:p>
    <w:p>
      <w:pPr>
        <w:spacing w:after="80"/>
        <w:ind w:left="259"/>
      </w:pPr>
      <w:r>
        <w:rPr>
          <w:rFonts w:ascii="Arial" w:hAnsi="Arial"/>
          <w:sz w:val="19"/>
        </w:rPr>
        <w:t>☐  Zdefiniuj listę kontrolną i przyczyny zwrotu karty.</w:t>
      </w:r>
    </w:p>
    <w:p>
      <w:pPr>
        <w:spacing w:after="80"/>
        <w:ind w:left="259"/>
      </w:pPr>
      <w:r>
        <w:rPr>
          <w:rFonts w:ascii="Arial" w:hAnsi="Arial"/>
          <w:sz w:val="19"/>
        </w:rPr>
        <w:t>☐  Określ historię zmian wymaganą przed i po zatwierdzeniu.</w:t>
      </w:r>
    </w:p>
    <w:p>
      <w:pPr>
        <w:spacing w:after="80"/>
        <w:ind w:left="259"/>
      </w:pPr>
      <w:r>
        <w:rPr>
          <w:rFonts w:ascii="Arial" w:hAnsi="Arial"/>
          <w:sz w:val="19"/>
        </w:rPr>
        <w:t>☐  Ustal blokowanie, odblokowanie, dostęp, retencję i prywatność.</w:t>
      </w:r>
    </w:p>
    <w:p>
      <w:pPr>
        <w:spacing w:after="80"/>
        <w:ind w:left="259"/>
      </w:pPr>
      <w:r>
        <w:rPr>
          <w:rFonts w:ascii="Arial" w:hAnsi="Arial"/>
          <w:sz w:val="19"/>
        </w:rPr>
        <w:t>☐  Przetestuj proces na jednym pełnym okresie przed publikacją.</w:t>
      </w:r>
    </w:p>
    <w:p>
      <w:pPr>
        <w:pStyle w:val="Heading1"/>
      </w:pPr>
      <w:r>
        <w:t>Zatwierdzenie polityki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Zatwierdził(a)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Data zatwierdzenia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Data następnego przeglądu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Sposób potwierdzenia przez zespół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shd w:fill="EAF2FF"/>
          </w:tcPr>
          <w:p>
            <w:r>
              <w:rPr>
                <w:rFonts w:ascii="Arial" w:hAnsi="Arial"/>
                <w:b/>
                <w:sz w:val="19"/>
              </w:rPr>
              <w:t>CC0 1.0</w:t>
            </w:r>
          </w:p>
          <w:p>
            <w:pPr>
              <w:spacing w:after="0"/>
            </w:pPr>
            <w:r>
              <w:rPr>
                <w:rFonts w:ascii="Arial" w:hAnsi="Arial"/>
                <w:sz w:val="18"/>
              </w:rPr>
              <w:t>To ogólne wskazówki organizacyjne, a nie porada prawna, podatkowa, kadrowa, płacowa ani dotycząca prawa pracy lub retencji danych. Dostosuj dokument do obowiązujących przepisów, umów i układów zbiorowych.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36" w:right="1224" w:bottom="936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2627F"/>
        <w:sz w:val="14"/>
      </w:rPr>
      <w:t>CC0 1.0 | Można dowolnie dostosować i ponownie wykorzystać | sandtime.io/templates/timesheet-approval-correction-policy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52627F"/>
        <w:sz w:val="16"/>
      </w:rPr>
      <w:t>Sandtime.io | Free business templates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4" w:lineRule="auto"/>
    </w:pPr>
    <w:rPr>
      <w:rFonts w:ascii="Arial" w:hAnsi="Arial"/>
      <w:color w:val="05144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20" w:after="100"/>
      <w:outlineLvl w:val="0"/>
    </w:pPr>
    <w:rPr>
      <w:rFonts w:asciiTheme="majorHAnsi" w:eastAsiaTheme="majorEastAsia" w:hAnsiTheme="majorHAnsi" w:cstheme="majorBidi" w:ascii="Arial" w:hAnsi="Arial"/>
      <w:b/>
      <w:bCs/>
      <w:color w:val="0052C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