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60" w:after="160"/>
      </w:pPr>
      <w:r>
        <w:rPr>
          <w:rFonts w:ascii="Arial" w:hAnsi="Arial"/>
          <w:b/>
          <w:color w:val="0052CC"/>
          <w:sz w:val="18"/>
        </w:rPr>
        <w:t>EDYTOWALNY SZABLON POLITYKI</w:t>
      </w:r>
    </w:p>
    <w:p>
      <w:pPr>
        <w:spacing w:after="100"/>
      </w:pPr>
      <w:r>
        <w:rPr>
          <w:rFonts w:ascii="Arial" w:hAnsi="Arial"/>
          <w:b/>
          <w:color w:val="051441"/>
          <w:sz w:val="54"/>
        </w:rPr>
        <w:t>Szablon polityki ewidencjonowania czasu</w:t>
      </w:r>
    </w:p>
    <w:p>
      <w:pPr>
        <w:spacing w:after="360"/>
      </w:pPr>
      <w:r>
        <w:rPr>
          <w:rFonts w:ascii="Arial" w:hAnsi="Arial"/>
          <w:color w:val="52627F"/>
          <w:sz w:val="26"/>
        </w:rPr>
        <w:t>Praktyczny punkt wyjścia dla pracy projektowej, kart czasu pracy, korekt, zatwierdzania i przechowywania zapisów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2400"/>
            <w:shd w:fill="EAF2FF"/>
            <w:vAlign w:val="center"/>
          </w:tcPr>
          <w:p>
            <w:r>
              <w:rPr>
                <w:rFonts w:ascii="Arial" w:hAnsi="Arial"/>
                <w:b/>
                <w:sz w:val="19"/>
              </w:rPr>
              <w:t>Organizacja</w:t>
            </w:r>
          </w:p>
        </w:tc>
        <w:tc>
          <w:tcPr>
            <w:tcW w:type="dxa" w:w="6960"/>
            <w:shd w:fill="FFF4D6"/>
            <w:vAlign w:val="center"/>
          </w:tcPr>
          <w:p>
            <w:r>
              <w:rPr>
                <w:rFonts w:ascii="Arial" w:hAnsi="Arial"/>
                <w:sz w:val="19"/>
              </w:rPr>
              <w:t>[Nazwa organizacji]</w:t>
            </w:r>
          </w:p>
        </w:tc>
      </w:tr>
      <w:tr>
        <w:tc>
          <w:tcPr>
            <w:tcW w:type="dxa" w:w="2400"/>
            <w:shd w:fill="EAF2FF"/>
            <w:vAlign w:val="center"/>
          </w:tcPr>
          <w:p>
            <w:r>
              <w:rPr>
                <w:rFonts w:ascii="Arial" w:hAnsi="Arial"/>
                <w:b/>
                <w:sz w:val="19"/>
              </w:rPr>
              <w:t>Właściciel polityki</w:t>
            </w:r>
          </w:p>
        </w:tc>
        <w:tc>
          <w:tcPr>
            <w:tcW w:type="dxa" w:w="6960"/>
            <w:shd w:fill="FFF4D6"/>
            <w:vAlign w:val="center"/>
          </w:tcPr>
          <w:p>
            <w:r>
              <w:rPr>
                <w:rFonts w:ascii="Arial" w:hAnsi="Arial"/>
                <w:sz w:val="19"/>
              </w:rPr>
              <w:t>[Rola lub osoba]</w:t>
            </w:r>
          </w:p>
        </w:tc>
      </w:tr>
      <w:tr>
        <w:tc>
          <w:tcPr>
            <w:tcW w:type="dxa" w:w="2400"/>
            <w:shd w:fill="EAF2FF"/>
            <w:vAlign w:val="center"/>
          </w:tcPr>
          <w:p>
            <w:r>
              <w:rPr>
                <w:rFonts w:ascii="Arial" w:hAnsi="Arial"/>
                <w:b/>
                <w:sz w:val="19"/>
              </w:rPr>
              <w:t>Data wejścia w życie</w:t>
            </w:r>
          </w:p>
        </w:tc>
        <w:tc>
          <w:tcPr>
            <w:tcW w:type="dxa" w:w="6960"/>
            <w:shd w:fill="FFF4D6"/>
            <w:vAlign w:val="center"/>
          </w:tcPr>
          <w:p>
            <w:r>
              <w:rPr>
                <w:rFonts w:ascii="Arial" w:hAnsi="Arial"/>
                <w:sz w:val="19"/>
              </w:rPr>
              <w:t>[RRRR-MM-DD]</w:t>
            </w:r>
          </w:p>
        </w:tc>
      </w:tr>
      <w:tr>
        <w:tc>
          <w:tcPr>
            <w:tcW w:type="dxa" w:w="2400"/>
            <w:shd w:fill="EAF2FF"/>
            <w:vAlign w:val="center"/>
          </w:tcPr>
          <w:p>
            <w:r>
              <w:rPr>
                <w:rFonts w:ascii="Arial" w:hAnsi="Arial"/>
                <w:b/>
                <w:sz w:val="19"/>
              </w:rPr>
              <w:t>Data przeglądu</w:t>
            </w:r>
          </w:p>
        </w:tc>
        <w:tc>
          <w:tcPr>
            <w:tcW w:type="dxa" w:w="6960"/>
            <w:shd w:fill="FFF4D6"/>
            <w:vAlign w:val="center"/>
          </w:tcPr>
          <w:p>
            <w:r>
              <w:rPr>
                <w:rFonts w:ascii="Arial" w:hAnsi="Arial"/>
                <w:sz w:val="19"/>
              </w:rPr>
              <w:t>[RRRR-MM-DD]</w:t>
            </w:r>
          </w:p>
        </w:tc>
      </w:tr>
      <w:tr>
        <w:tc>
          <w:tcPr>
            <w:tcW w:type="dxa" w:w="2400"/>
            <w:shd w:fill="EAF2FF"/>
            <w:vAlign w:val="center"/>
          </w:tcPr>
          <w:p>
            <w:r>
              <w:rPr>
                <w:rFonts w:ascii="Arial" w:hAnsi="Arial"/>
                <w:b/>
                <w:sz w:val="19"/>
              </w:rPr>
              <w:t>Wersja</w:t>
            </w:r>
          </w:p>
        </w:tc>
        <w:tc>
          <w:tcPr>
            <w:tcW w:type="dxa" w:w="6960"/>
            <w:shd w:fill="FFF4D6"/>
            <w:vAlign w:val="center"/>
          </w:tcPr>
          <w:p>
            <w:r>
              <w:rPr>
                <w:rFonts w:ascii="Arial" w:hAnsi="Arial"/>
                <w:sz w:val="19"/>
              </w:rPr>
              <w:t>[1.0]</w:t>
            </w:r>
          </w:p>
        </w:tc>
      </w:tr>
    </w:tbl>
    <w:p/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EAF2FF"/>
            <w:vAlign w:val="center"/>
          </w:tcPr>
          <w:p>
            <w:pPr>
              <w:spacing w:after="60"/>
            </w:pPr>
            <w:r>
              <w:rPr>
                <w:rFonts w:ascii="Arial" w:hAnsi="Arial"/>
                <w:b/>
                <w:color w:val="051441"/>
                <w:sz w:val="21"/>
              </w:rPr>
              <w:t>Jak korzystać z tego szablonu</w:t>
            </w:r>
          </w:p>
          <w:p>
            <w:pPr>
              <w:spacing w:after="0"/>
            </w:pPr>
            <w:r>
              <w:rPr>
                <w:rFonts w:ascii="Arial" w:hAnsi="Arial"/>
                <w:color w:val="051441"/>
                <w:sz w:val="19"/>
              </w:rPr>
              <w:t>Zastąp wyróżnione pola i wybierz zapisy zgodne z rzeczywistym sposobem pracy organizacji. Usuń przykłady, które nie mają zastosowania. Udostępnij ostateczną politykę wszystkim osobom rejestrującym, sprawdzającym lub zatwierdzającym czas.</w:t>
            </w:r>
          </w:p>
        </w:tc>
      </w:tr>
    </w:tbl>
    <w:p/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FFF4D6"/>
            <w:vAlign w:val="center"/>
          </w:tcPr>
          <w:p>
            <w:pPr>
              <w:spacing w:after="60"/>
            </w:pPr>
            <w:r>
              <w:rPr>
                <w:rFonts w:ascii="Arial" w:hAnsi="Arial"/>
                <w:b/>
                <w:color w:val="051441"/>
                <w:sz w:val="21"/>
              </w:rPr>
              <w:t>Important</w:t>
            </w:r>
          </w:p>
          <w:p>
            <w:pPr>
              <w:spacing w:after="0"/>
            </w:pPr>
            <w:r>
              <w:rPr>
                <w:rFonts w:ascii="Arial" w:hAnsi="Arial"/>
                <w:color w:val="051441"/>
                <w:sz w:val="19"/>
              </w:rPr>
              <w:t>Ten szablon zawiera ogólne wskazówki organizacyjne, a nie porady prawne, podatkowe, kadrowe, płacowe ani dotyczące prawa pracy. Lokalne przepisy i zobowiązania umowne są różne. Gdy zgodność ma znaczenie, ostateczną politykę powinien sprawdzić wykwalifikowany doradca.</w:t>
            </w:r>
          </w:p>
        </w:tc>
      </w:tr>
    </w:tbl>
    <w:p>
      <w:pPr>
        <w:pStyle w:val="Heading1"/>
      </w:pPr>
      <w:r>
        <w:t>1. Cel</w:t>
      </w:r>
    </w:p>
    <w:p>
      <w:pPr>
        <w:keepLines/>
      </w:pPr>
      <w:r>
        <w:t>Polityka wyjaśnia, jak [nazwa organizacji] ewidencjonuje czas pracy i czas projektowy, aby pracownicy, klienci, kierownicy, faktury i raporty opierały się na spójnych zapisach.</w:t>
      </w:r>
    </w:p>
    <w:p>
      <w:pPr>
        <w:keepLines/>
      </w:pPr>
      <w:r>
        <w:t>Celem jest jasne określenie oczekiwań bez zamieniania ewidencjonowania czasu w nadzór. Zapisy powinny opisywać wykonaną pracę i wspierać planowanie, rozliczenia, zatwierdzanie oraz odpowiedzialne przechowywanie danych.</w:t>
      </w:r>
    </w:p>
    <w:p>
      <w:pPr>
        <w:pStyle w:val="Heading1"/>
      </w:pPr>
      <w:r>
        <w:t>2. Zakres</w:t>
      </w:r>
    </w:p>
    <w:p>
      <w:pPr>
        <w:keepLines/>
      </w:pPr>
      <w:r>
        <w:t>Polityka dotyczy [pracowników / wykonawców / freelancerów / wybranych zespołów], którzy ewidencjonują czas na potrzeby [projektów / klientów / danych do rozliczeń płacowych / planowania wewnętrznego].</w:t>
      </w:r>
    </w:p>
    <w:p>
      <w:pPr>
        <w:keepLines/>
      </w:pPr>
      <w:r>
        <w:t>Polityka nie dotyczy [ról, czynności lub lokalizacji objętych innym procesem].</w:t>
      </w:r>
    </w:p>
    <w:p>
      <w:r>
        <w:br w:type="page"/>
      </w:r>
    </w:p>
    <w:p>
      <w:pPr>
        <w:pStyle w:val="Heading1"/>
      </w:pPr>
      <w:r>
        <w:t>3. Zakres rejestrowanych danych</w:t>
      </w:r>
    </w:p>
    <w:p>
      <w:pPr>
        <w:keepLines/>
      </w:pPr>
      <w:r>
        <w:t>Należy zapisać datę, projekt lub klienta, czynność lub zadanie, godzinę rozpoczęcia i zakończenia albo czas trwania, wymagane przerwy, status rozliczeniowy oraz krótką uwagę, gdy wpis wymaga kontekstu.</w:t>
      </w:r>
    </w:p>
    <w:p>
      <w:pPr>
        <w:keepLines/>
      </w:pPr>
      <w:r>
        <w:t>Wpis powinien być na tyle konkretny, aby osoba sprawdzająca rozumiała wykonaną pracę, ale nie powinien ujawniać poufnych treści, które nie należą do karty czasu pracy.</w:t>
      </w:r>
    </w:p>
    <w:p>
      <w:pPr>
        <w:pStyle w:val="Heading1"/>
      </w:pPr>
      <w:r>
        <w:t>4. Częstotliwość i termin</w:t>
      </w:r>
    </w:p>
    <w:p>
      <w:pPr>
        <w:keepLines/>
      </w:pPr>
      <w:r>
        <w:t>Czas należy rejestrować [na bieżąco / do końca dnia / nie później niż następnego dnia roboczego]. Termin przesłania za dany okres to [dzień i godzina].</w:t>
      </w:r>
    </w:p>
    <w:p>
      <w:pPr>
        <w:keepLines/>
      </w:pPr>
      <w:r>
        <w:t>Jeśli termin nie może zostać dotrzymany, należy powiadomić [rolę lub zespół] i uzupełnić zapis do [terminu awaryjnego].</w:t>
      </w:r>
    </w:p>
    <w:p>
      <w:pPr>
        <w:pStyle w:val="Heading1"/>
      </w:pPr>
      <w:r>
        <w:t>5. Czas rozliczeniowy i nierozliczeniowy</w:t>
      </w:r>
    </w:p>
    <w:p>
      <w:pPr>
        <w:keepLines/>
      </w:pPr>
      <w:r>
        <w:t>Czas rozliczeniowy oznacza [definicja organizacji]. Czas nierozliczeniowy obejmuje [przykłady]. Jeśli umowa z klientem lub instrukcja projektu określa inne zasady, ma pierwszeństwo.</w:t>
      </w:r>
    </w:p>
    <w:p>
      <w:pPr>
        <w:keepLines/>
      </w:pPr>
      <w:r>
        <w:t>Nie należy zmieniać statusu rozliczeniowego wyłącznie po to, aby osiągnąć wskaźnik. Wątpliwości należy zgłosić do [kierownika projektu / opiekuna klienta / osoby odpowiedzialnej za finanse].</w:t>
      </w:r>
    </w:p>
    <w:p>
      <w:pPr>
        <w:pStyle w:val="Heading1"/>
      </w:pPr>
      <w:r>
        <w:t>6. Przerwy, nadgodziny i zaokrąglanie</w:t>
      </w:r>
    </w:p>
    <w:p>
      <w:pPr>
        <w:keepLines/>
      </w:pPr>
      <w:r>
        <w:t>Przerwy zapisuje się jako [niepłatne minuty / osobne wpisy / inny sposób]. Nadgodziny wymagają [uprzedniej zgody / zgody tego samego dnia / innej zasady] od [rola].</w:t>
      </w:r>
    </w:p>
    <w:p>
      <w:pPr>
        <w:keepLines/>
      </w:pPr>
      <w:r>
        <w:t>Czas zapisuje się z dokładnością do [1 / 5 / 6 / 10 / 15] minut. Zasada zaokrąglania musi być stosowana spójnie i sprawdzona pod kątem lokalnych wymagań.</w:t>
      </w:r>
    </w:p>
    <w:p>
      <w:r>
        <w:br w:type="page"/>
      </w:r>
    </w:p>
    <w:p>
      <w:pPr>
        <w:pStyle w:val="Heading1"/>
      </w:pPr>
      <w:r>
        <w:t>7. Sprawdzanie i zatwierdzanie</w:t>
      </w:r>
    </w:p>
    <w:p>
      <w:pPr>
        <w:keepLines/>
      </w:pPr>
      <w:r>
        <w:t>Osoba sprawdzająca weryfikuje kompletność wpisów, właściwy projekt lub klienta, zgodność ze znanym przebiegiem pracy oraz wyjaśnienie nietypowych pozycji.</w:t>
      </w:r>
    </w:p>
    <w:p>
      <w:pPr>
        <w:keepLines/>
      </w:pPr>
      <w:r>
        <w:t>Termin zatwierdzenia to [termin]. Zatwierdzenie oznacza gotowość zapisu do określonego celu, ale nie zastępuje kontroli płacowej, prawnej ani umownej.</w:t>
      </w:r>
    </w:p>
    <w:p>
      <w:pPr>
        <w:pStyle w:val="Heading1"/>
      </w:pPr>
      <w:r>
        <w:t>8. Korekty i spóźnione zmiany</w:t>
      </w:r>
    </w:p>
    <w:p>
      <w:pPr>
        <w:keepLines/>
      </w:pPr>
      <w:r>
        <w:t>Przed zatwierdzeniem osoba rejestrująca czas może poprawić wpis i dodać wyjaśnienie, jeśli przyczyna zmiany nie jest oczywista.</w:t>
      </w:r>
    </w:p>
    <w:p>
      <w:pPr>
        <w:keepLines/>
      </w:pPr>
      <w:r>
        <w:t>Po zatwierdzeniu lub zablokowaniu korekta przebiega tak: [kanał zgłoszenia], [wymagane uzasadnienie], [osoba zatwierdzająca] i [sposób zapisania zmiany]. Nie wolno nadpisywać zatwierdzonego zapisu historycznego bez zachowania śladu korekty.</w:t>
      </w:r>
    </w:p>
    <w:p>
      <w:pPr>
        <w:pStyle w:val="Heading1"/>
      </w:pPr>
      <w:r>
        <w:t>9. Blokowanie, przechowywanie i dostęp</w:t>
      </w:r>
    </w:p>
    <w:p>
      <w:pPr>
        <w:keepLines/>
      </w:pPr>
      <w:r>
        <w:t>Okresy są blokowane [automatycznie / ręcznie] po [zdarzeniu lub liczbie dni]. Dostęp mają [role]. Zapisy przechowuje się przez [okres], a następnie usuwa lub archiwizuje zgodnie z [polityką retencji].</w:t>
      </w:r>
    </w:p>
    <w:p>
      <w:pPr>
        <w:keepLines/>
      </w:pPr>
      <w:r>
        <w:t>Należy przechowywać wyłącznie dane potrzebne do określonego celu. W uwagach nie wolno umieszczać haseł, danych medycznych, poufnych treści klienta ani prywatnych komentarzy o pracownikach.</w:t>
      </w:r>
    </w:p>
    <w:p>
      <w:r>
        <w:br w:type="page"/>
      </w:r>
    </w:p>
    <w:p>
      <w:pPr>
        <w:pStyle w:val="Heading1"/>
      </w:pPr>
      <w:r>
        <w:t>10. Role i odpowiedzialność</w:t>
      </w:r>
    </w:p>
    <w:p>
      <w:pPr>
        <w:keepLines/>
      </w:pPr>
      <w:r>
        <w:t>Osoby rejestrujące czas: tworzą kompletne, terminowe i rzetelne wpisy oraz szybko zgłaszają wątpliwości.</w:t>
      </w:r>
    </w:p>
    <w:p>
      <w:pPr>
        <w:keepLines/>
      </w:pPr>
      <w:r>
        <w:t>Osoby sprawdzające i zatwierdzające: stosują spójne kryteria, z szacunkiem wyjaśniają wątpliwości, terminowo zatwierdzają i nie wymagają zbędnych szczegółów.</w:t>
      </w:r>
    </w:p>
    <w:p>
      <w:pPr>
        <w:keepLines/>
      </w:pPr>
      <w:r>
        <w:t>Właściciel polityki: utrzymuje dokument, odpowiada na pytania, rozpatruje wyjątki i koordynuje okresowe aktualizacje.</w:t>
      </w:r>
    </w:p>
    <w:p>
      <w:pPr>
        <w:pStyle w:val="Heading1"/>
      </w:pPr>
      <w:r>
        <w:t>11. Wyjątki i pytania</w:t>
      </w:r>
    </w:p>
    <w:p>
      <w:pPr>
        <w:keepLines/>
      </w:pPr>
      <w:r>
        <w:t>Wyjątki wymagają zgody [rola] oraz wskazania przyczyny, okresu i alternatywnego zapisu. Pytania należy kierować do [kontakt lub kanał].</w:t>
      </w:r>
    </w:p>
    <w:p>
      <w:pPr>
        <w:keepLines/>
      </w:pPr>
      <w:r>
        <w:t>Nie wolno tworzyć nieprawidłowych wpisów, aby obejść problem w procesie. Problem należy eskalować i udokumentować uzgodnione rozwiązanie.</w:t>
      </w:r>
    </w:p>
    <w:p>
      <w:r>
        <w:br w:type="page"/>
      </w:r>
    </w:p>
    <w:p>
      <w:pPr>
        <w:pStyle w:val="Heading1"/>
      </w:pPr>
      <w:r>
        <w:t>Lista wdrożeniowa</w:t>
      </w:r>
    </w:p>
    <w:p>
      <w:pPr>
        <w:pStyle w:val="ListBullet"/>
        <w:spacing w:after="80"/>
        <w:ind w:left="547" w:hanging="274"/>
      </w:pPr>
      <w:r>
        <w:rPr>
          <w:rFonts w:ascii="Arial" w:hAnsi="Arial"/>
          <w:sz w:val="20"/>
        </w:rPr>
        <w:t>Określ, kto i w jakim celu rejestruje czas.</w:t>
      </w:r>
    </w:p>
    <w:p>
      <w:pPr>
        <w:pStyle w:val="ListBullet"/>
        <w:spacing w:after="80"/>
        <w:ind w:left="547" w:hanging="274"/>
      </w:pPr>
      <w:r>
        <w:rPr>
          <w:rFonts w:ascii="Arial" w:hAnsi="Arial"/>
          <w:sz w:val="20"/>
        </w:rPr>
        <w:t>Zdefiniuj minimalny zakres danych i termin przesyłania.</w:t>
      </w:r>
    </w:p>
    <w:p>
      <w:pPr>
        <w:pStyle w:val="ListBullet"/>
        <w:spacing w:after="80"/>
        <w:ind w:left="547" w:hanging="274"/>
      </w:pPr>
      <w:r>
        <w:rPr>
          <w:rFonts w:ascii="Arial" w:hAnsi="Arial"/>
          <w:sz w:val="20"/>
        </w:rPr>
        <w:t>Ustal zasady czasu rozliczeniowego, przerw, nadgodzin i zaokrąglania.</w:t>
      </w:r>
    </w:p>
    <w:p>
      <w:pPr>
        <w:pStyle w:val="ListBullet"/>
        <w:spacing w:after="80"/>
        <w:ind w:left="547" w:hanging="274"/>
      </w:pPr>
      <w:r>
        <w:rPr>
          <w:rFonts w:ascii="Arial" w:hAnsi="Arial"/>
          <w:sz w:val="20"/>
        </w:rPr>
        <w:t>Wskaż osoby sprawdzające, zatwierdzające, właścicieli korekt i kontakty eskalacyjne.</w:t>
      </w:r>
    </w:p>
    <w:p>
      <w:pPr>
        <w:pStyle w:val="ListBullet"/>
        <w:spacing w:after="80"/>
        <w:ind w:left="547" w:hanging="274"/>
      </w:pPr>
      <w:r>
        <w:rPr>
          <w:rFonts w:ascii="Arial" w:hAnsi="Arial"/>
          <w:sz w:val="20"/>
        </w:rPr>
        <w:t>Ustal blokowanie, dostęp, retencję i zasady prywatności.</w:t>
      </w:r>
    </w:p>
    <w:p>
      <w:pPr>
        <w:pStyle w:val="ListBullet"/>
        <w:spacing w:after="80"/>
        <w:ind w:left="547" w:hanging="274"/>
      </w:pPr>
      <w:r>
        <w:rPr>
          <w:rFonts w:ascii="Arial" w:hAnsi="Arial"/>
          <w:sz w:val="20"/>
        </w:rPr>
        <w:t>Przetestuj proces z jednym zespołem, a następnie opublikuj ostateczną politykę.</w:t>
      </w:r>
    </w:p>
    <w:p>
      <w:pPr>
        <w:pStyle w:val="ListBullet"/>
        <w:spacing w:after="80"/>
        <w:ind w:left="547" w:hanging="274"/>
      </w:pPr>
      <w:r>
        <w:rPr>
          <w:rFonts w:ascii="Arial" w:hAnsi="Arial"/>
          <w:sz w:val="20"/>
        </w:rPr>
        <w:t>Zaplanuj pierwszy przegląd i zbierz opinie osób korzystających z procesu.</w:t>
      </w:r>
    </w:p>
    <w:p>
      <w:pPr>
        <w:pStyle w:val="Heading1"/>
      </w:pPr>
      <w:r>
        <w:t>Zatwierdzenie polityki i potwierdzenie zapoznania się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2400"/>
            <w:shd w:fill="EAF2FF"/>
            <w:vAlign w:val="center"/>
          </w:tcPr>
          <w:p>
            <w:r>
              <w:rPr>
                <w:rFonts w:ascii="Arial" w:hAnsi="Arial"/>
                <w:b/>
                <w:sz w:val="19"/>
              </w:rPr>
              <w:t>Politykę zatwierdził(a)</w:t>
            </w:r>
          </w:p>
        </w:tc>
        <w:tc>
          <w:tcPr>
            <w:tcW w:type="dxa" w:w="6960"/>
            <w:shd w:fill="FFF4D6"/>
            <w:vAlign w:val="center"/>
          </w:tcPr>
          <w:p>
            <w:r>
              <w:rPr>
                <w:rFonts w:ascii="Arial" w:hAnsi="Arial"/>
                <w:sz w:val="19"/>
              </w:rPr>
            </w:r>
          </w:p>
        </w:tc>
      </w:tr>
      <w:tr>
        <w:tc>
          <w:tcPr>
            <w:tcW w:type="dxa" w:w="2400"/>
            <w:shd w:fill="EAF2FF"/>
            <w:vAlign w:val="center"/>
          </w:tcPr>
          <w:p>
            <w:r>
              <w:rPr>
                <w:rFonts w:ascii="Arial" w:hAnsi="Arial"/>
                <w:b/>
                <w:sz w:val="19"/>
              </w:rPr>
              <w:t>Data zatwierdzenia</w:t>
            </w:r>
          </w:p>
        </w:tc>
        <w:tc>
          <w:tcPr>
            <w:tcW w:type="dxa" w:w="6960"/>
            <w:shd w:fill="FFF4D6"/>
            <w:vAlign w:val="center"/>
          </w:tcPr>
          <w:p>
            <w:r>
              <w:rPr>
                <w:rFonts w:ascii="Arial" w:hAnsi="Arial"/>
                <w:sz w:val="19"/>
              </w:rPr>
            </w:r>
          </w:p>
        </w:tc>
      </w:tr>
      <w:tr>
        <w:tc>
          <w:tcPr>
            <w:tcW w:type="dxa" w:w="2400"/>
            <w:shd w:fill="EAF2FF"/>
            <w:vAlign w:val="center"/>
          </w:tcPr>
          <w:p>
            <w:r>
              <w:rPr>
                <w:rFonts w:ascii="Arial" w:hAnsi="Arial"/>
                <w:b/>
                <w:sz w:val="19"/>
              </w:rPr>
              <w:t>Data następnego przeglądu</w:t>
            </w:r>
          </w:p>
        </w:tc>
        <w:tc>
          <w:tcPr>
            <w:tcW w:type="dxa" w:w="6960"/>
            <w:shd w:fill="FFF4D6"/>
            <w:vAlign w:val="center"/>
          </w:tcPr>
          <w:p>
            <w:r>
              <w:rPr>
                <w:rFonts w:ascii="Arial" w:hAnsi="Arial"/>
                <w:sz w:val="19"/>
              </w:rPr>
            </w:r>
          </w:p>
        </w:tc>
      </w:tr>
      <w:tr>
        <w:tc>
          <w:tcPr>
            <w:tcW w:type="dxa" w:w="2400"/>
            <w:shd w:fill="EAF2FF"/>
            <w:vAlign w:val="center"/>
          </w:tcPr>
          <w:p>
            <w:r>
              <w:rPr>
                <w:rFonts w:ascii="Arial" w:hAnsi="Arial"/>
                <w:b/>
                <w:sz w:val="19"/>
              </w:rPr>
              <w:t>Sposób potwierdzenia przez pracownika / wykonawcę</w:t>
            </w:r>
          </w:p>
        </w:tc>
        <w:tc>
          <w:tcPr>
            <w:tcW w:type="dxa" w:w="6960"/>
            <w:shd w:fill="FFF4D6"/>
            <w:vAlign w:val="center"/>
          </w:tcPr>
          <w:p>
            <w:r>
              <w:rPr>
                <w:rFonts w:ascii="Arial" w:hAnsi="Arial"/>
                <w:sz w:val="19"/>
              </w:rPr>
            </w:r>
          </w:p>
        </w:tc>
      </w:tr>
    </w:tbl>
    <w:p/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EAF2FF"/>
            <w:vAlign w:val="center"/>
          </w:tcPr>
          <w:p>
            <w:pPr>
              <w:spacing w:after="60"/>
            </w:pPr>
            <w:r>
              <w:rPr>
                <w:rFonts w:ascii="Arial" w:hAnsi="Arial"/>
                <w:b/>
                <w:color w:val="051441"/>
                <w:sz w:val="21"/>
              </w:rPr>
              <w:t>CC0 1.0</w:t>
            </w:r>
          </w:p>
          <w:p>
            <w:pPr>
              <w:spacing w:after="0"/>
            </w:pPr>
            <w:r>
              <w:rPr>
                <w:rFonts w:ascii="Arial" w:hAnsi="Arial"/>
                <w:color w:val="051441"/>
                <w:sz w:val="19"/>
              </w:rPr>
              <w:t>Ten szablon zawiera ogólne wskazówki organizacyjne, a nie porady prawne, podatkowe, kadrowe, płacowe ani dotyczące prawa pracy. Lokalne przepisy i zobowiązania umowne są różne. Gdy zgodność ma znaczenie, ostateczną politykę powinien sprawdzić wykwalifikowany doradca.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080" w:right="1440" w:bottom="1080" w:left="1440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52627F"/>
        <w:sz w:val="15"/>
      </w:rPr>
      <w:t>CC0 1.0 | Można dowolnie dostosować i ponownie wykorzystać | sandtime.io/templates/time-tracking-policy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color w:val="52627F"/>
        <w:sz w:val="16"/>
      </w:rPr>
      <w:t>Sandtime.io | Free business templates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Arial" w:hAnsi="Arial"/>
      <w:color w:val="051441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40"/>
      <w:outlineLvl w:val="0"/>
    </w:pPr>
    <w:rPr>
      <w:rFonts w:asciiTheme="majorHAnsi" w:eastAsiaTheme="majorEastAsia" w:hAnsiTheme="majorHAnsi" w:cstheme="majorBidi" w:ascii="Arial" w:hAnsi="Arial"/>
      <w:b/>
      <w:bCs/>
      <w:color w:val="0052CC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20" w:after="100"/>
      <w:outlineLvl w:val="1"/>
    </w:pPr>
    <w:rPr>
      <w:rFonts w:asciiTheme="majorHAnsi" w:eastAsiaTheme="majorEastAsia" w:hAnsiTheme="majorHAnsi" w:cstheme="majorBidi" w:ascii="Arial" w:hAnsi="Arial"/>
      <w:b/>
      <w:bCs/>
      <w:color w:val="0052C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