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color w:val="1F49B5"/>
          <w:sz w:val="16"/>
        </w:rPr>
        <w:t>ÉNONCÉ DES TRAVAUX MODIFIABLE</w:t>
      </w:r>
    </w:p>
    <w:p>
      <w:pPr>
        <w:spacing w:after="40"/>
      </w:pPr>
      <w:r>
        <w:rPr>
          <w:rFonts w:ascii="Arial" w:hAnsi="Arial"/>
          <w:b/>
          <w:color w:val="11182B"/>
          <w:sz w:val="42"/>
        </w:rPr>
        <w:t>Modèle d'énoncé des travaux (SOW)</w:t>
      </w:r>
    </w:p>
    <w:p>
      <w:pPr>
        <w:spacing w:after="180"/>
      </w:pPr>
      <w:r>
        <w:rPr>
          <w:rFonts w:ascii="Arial" w:hAnsi="Arial"/>
          <w:color w:val="44506A"/>
          <w:sz w:val="20"/>
        </w:rPr>
        <w:t>Un accord clair sur le périmètre, les livrables, le calendrier, les honoraires et la recette pour un projet ou une mission client.</w:t>
      </w:r>
    </w:p>
    <w:tbl>
      <w:tblPr>
        <w:tblW w:type="auto" w:w="0"/>
        <w:jc w:val="center"/>
        <w:tblLayout w:type="fixed"/>
        <w:tblLook w:firstColumn="1" w:firstRow="1" w:lastColumn="0" w:lastRow="0" w:noHBand="0" w:noVBand="1" w:val="04A0"/>
      </w:tblPr>
      <w:tblGrid>
        <w:gridCol w:w="5040"/>
        <w:gridCol w:w="5040"/>
      </w:tblGrid>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Client</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[Nom du client]</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Prestataire</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[Nom du prestataire]</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Projet</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[Nom du projet]</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Numéro d'énoncé des travaux</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[SOW-001]</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d'entrée en vigueur</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[AAAA-MM-JJ]</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fin cible</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[AAAA-MM-JJ]</w:t>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Comment utiliser ce modèle</w:t>
            </w:r>
          </w:p>
          <w:p>
            <w:pPr>
              <w:spacing w:after="0"/>
            </w:pPr>
            <w:r>
              <w:rPr>
                <w:rFonts w:ascii="Arial" w:hAnsi="Arial"/>
                <w:color w:val="2C3547"/>
                <w:sz w:val="19"/>
              </w:rPr>
              <w:t>Remplacez les champs surlignés par les détails de votre projet et choisissez les sections qui s'appliquent. Supprimez ce dont vous n'avez pas besoin. Convenez de la version finale avec le client avant le début des travaux.</w:t>
            </w:r>
          </w:p>
        </w:tc>
      </w:tr>
    </w:tbl>
    <w:p>
      <w:pPr>
        <w:spacing w:after="10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Important</w:t>
            </w:r>
          </w:p>
          <w:p>
            <w:pPr>
              <w:spacing w:after="0"/>
            </w:pPr>
            <w:r>
              <w:rPr>
                <w:rFonts w:ascii="Arial" w:hAnsi="Arial"/>
                <w:color w:val="2C3547"/>
                <w:sz w:val="19"/>
              </w:rPr>
              <w:t>Ce modèle est un point de départ général, et non un conseil juridique. Un énoncé des travaux peut créer des obligations contraignantes. Faites réviser l'accord final par un conseiller qualifié, en particulier les honoraires, la recette, la responsabilité et les droits de propriété intellectuelle.</w:t>
            </w:r>
          </w:p>
        </w:tc>
      </w:tr>
    </w:tbl>
    <w:p>
      <w:pPr>
        <w:spacing w:before="180" w:after="60"/>
      </w:pPr>
      <w:r>
        <w:rPr>
          <w:rFonts w:ascii="Arial" w:hAnsi="Arial"/>
          <w:b/>
          <w:color w:val="1F49B5"/>
          <w:sz w:val="23"/>
        </w:rPr>
        <w:t>1. Aperçu du projet</w:t>
      </w:r>
    </w:p>
    <w:p>
      <w:pPr>
        <w:spacing w:after="80"/>
      </w:pPr>
      <w:r>
        <w:rPr>
          <w:rFonts w:ascii="Arial" w:hAnsi="Arial"/>
          <w:color w:val="1A2333"/>
          <w:sz w:val="19"/>
        </w:rPr>
        <w:t>Cet énoncé des travaux (SOW) décrit le travail que [Prestataire] réalisera pour [Client] sur [nom du projet], dans le cadre de [l'accord régissant / le présent document].</w:t>
      </w:r>
    </w:p>
    <w:p>
      <w:pPr>
        <w:spacing w:after="80"/>
      </w:pPr>
      <w:r>
        <w:rPr>
          <w:rFonts w:ascii="Arial" w:hAnsi="Arial"/>
          <w:color w:val="1A2333"/>
          <w:sz w:val="19"/>
        </w:rPr>
        <w:t>Son objet est d'établir une compréhension claire et partagée du périmètre, des livrables, du calendrier et des honoraires avant le début des travaux.</w:t>
      </w:r>
    </w:p>
    <w:p>
      <w:pPr>
        <w:spacing w:before="180" w:after="60"/>
      </w:pPr>
      <w:r>
        <w:rPr>
          <w:rFonts w:ascii="Arial" w:hAnsi="Arial"/>
          <w:b/>
          <w:color w:val="1F49B5"/>
          <w:sz w:val="23"/>
        </w:rPr>
        <w:t>2. Périmètre des travaux</w:t>
      </w:r>
    </w:p>
    <w:p>
      <w:pPr>
        <w:spacing w:after="80"/>
      </w:pPr>
      <w:r>
        <w:rPr>
          <w:rFonts w:ascii="Arial" w:hAnsi="Arial"/>
          <w:color w:val="1A2333"/>
          <w:sz w:val="19"/>
        </w:rPr>
        <w:t>[Prestataire] réalisera les travaux suivants :</w:t>
      </w:r>
    </w:p>
    <w:p>
      <w:pPr>
        <w:pStyle w:val="ListBullet"/>
        <w:spacing w:after="40"/>
      </w:pPr>
      <w:r>
        <w:rPr>
          <w:rFonts w:ascii="Arial" w:hAnsi="Arial"/>
          <w:color w:val="1A2333"/>
          <w:sz w:val="19"/>
        </w:rPr>
        <w:t>[Activité ou chantier 1]</w:t>
      </w:r>
    </w:p>
    <w:p>
      <w:pPr>
        <w:pStyle w:val="ListBullet"/>
        <w:spacing w:after="40"/>
      </w:pPr>
      <w:r>
        <w:rPr>
          <w:rFonts w:ascii="Arial" w:hAnsi="Arial"/>
          <w:color w:val="1A2333"/>
          <w:sz w:val="19"/>
        </w:rPr>
        <w:t>[Activité ou chantier 2]</w:t>
      </w:r>
    </w:p>
    <w:p>
      <w:pPr>
        <w:pStyle w:val="ListBullet"/>
        <w:spacing w:after="40"/>
      </w:pPr>
      <w:r>
        <w:rPr>
          <w:rFonts w:ascii="Arial" w:hAnsi="Arial"/>
          <w:color w:val="1A2333"/>
          <w:sz w:val="19"/>
        </w:rPr>
        <w:t>[Activité ou chantier 3]</w:t>
      </w:r>
    </w:p>
    <w:p>
      <w:pPr>
        <w:spacing w:before="180" w:after="60"/>
      </w:pPr>
      <w:r>
        <w:rPr>
          <w:rFonts w:ascii="Arial" w:hAnsi="Arial"/>
          <w:b/>
          <w:color w:val="1F49B5"/>
          <w:sz w:val="23"/>
        </w:rPr>
        <w:t>3. Livrables</w:t>
      </w:r>
    </w:p>
    <w:p>
      <w:pPr>
        <w:spacing w:after="80"/>
      </w:pPr>
      <w:r>
        <w:rPr>
          <w:rFonts w:ascii="Arial" w:hAnsi="Arial"/>
          <w:color w:val="1A2333"/>
          <w:sz w:val="19"/>
        </w:rPr>
        <w:t>Les livrables suivants seront produits :</w:t>
      </w:r>
    </w:p>
    <w:p>
      <w:pPr>
        <w:pStyle w:val="ListBullet"/>
        <w:spacing w:after="40"/>
      </w:pPr>
      <w:r>
        <w:rPr>
          <w:rFonts w:ascii="Arial" w:hAnsi="Arial"/>
          <w:color w:val="1A2333"/>
          <w:sz w:val="19"/>
        </w:rPr>
        <w:t>[Livrable 1 - format et description]</w:t>
      </w:r>
    </w:p>
    <w:p>
      <w:pPr>
        <w:pStyle w:val="ListBullet"/>
        <w:spacing w:after="40"/>
      </w:pPr>
      <w:r>
        <w:rPr>
          <w:rFonts w:ascii="Arial" w:hAnsi="Arial"/>
          <w:color w:val="1A2333"/>
          <w:sz w:val="19"/>
        </w:rPr>
        <w:t>[Livrable 2 - format et description]</w:t>
      </w:r>
    </w:p>
    <w:p>
      <w:pPr>
        <w:pStyle w:val="ListBullet"/>
        <w:spacing w:after="40"/>
      </w:pPr>
      <w:r>
        <w:rPr>
          <w:rFonts w:ascii="Arial" w:hAnsi="Arial"/>
          <w:color w:val="1A2333"/>
          <w:sz w:val="19"/>
        </w:rPr>
        <w:t>[Livrable 3 - format et description]</w:t>
      </w:r>
    </w:p>
    <w:p>
      <w:pPr>
        <w:spacing w:before="180" w:after="60"/>
      </w:pPr>
      <w:r>
        <w:rPr>
          <w:rFonts w:ascii="Arial" w:hAnsi="Arial"/>
          <w:b/>
          <w:color w:val="1F49B5"/>
          <w:sz w:val="23"/>
        </w:rPr>
        <w:t>4. Hors périmètre</w:t>
      </w:r>
    </w:p>
    <w:p>
      <w:pPr>
        <w:spacing w:after="80"/>
      </w:pPr>
      <w:r>
        <w:rPr>
          <w:rFonts w:ascii="Arial" w:hAnsi="Arial"/>
          <w:color w:val="1A2333"/>
          <w:sz w:val="19"/>
        </w:rPr>
        <w:t>Les éléments suivants ne sont pas inclus dans cet énoncé et nécessiteraient un accord distinct :</w:t>
      </w:r>
    </w:p>
    <w:p>
      <w:pPr>
        <w:pStyle w:val="ListBullet"/>
        <w:spacing w:after="40"/>
      </w:pPr>
      <w:r>
        <w:rPr>
          <w:rFonts w:ascii="Arial" w:hAnsi="Arial"/>
          <w:color w:val="1A2333"/>
          <w:sz w:val="19"/>
        </w:rPr>
        <w:t>[Élément exclu 1]</w:t>
      </w:r>
    </w:p>
    <w:p>
      <w:pPr>
        <w:pStyle w:val="ListBullet"/>
        <w:spacing w:after="40"/>
      </w:pPr>
      <w:r>
        <w:rPr>
          <w:rFonts w:ascii="Arial" w:hAnsi="Arial"/>
          <w:color w:val="1A2333"/>
          <w:sz w:val="19"/>
        </w:rPr>
        <w:t>[Élément exclu 2]</w:t>
      </w:r>
    </w:p>
    <w:p>
      <w:pPr>
        <w:spacing w:before="180" w:after="60"/>
      </w:pPr>
      <w:r>
        <w:rPr>
          <w:rFonts w:ascii="Arial" w:hAnsi="Arial"/>
          <w:b/>
          <w:color w:val="1F49B5"/>
          <w:sz w:val="23"/>
        </w:rPr>
        <w:t>5. Calendrier et jalons</w:t>
      </w:r>
    </w:p>
    <w:p>
      <w:pPr>
        <w:spacing w:after="80"/>
      </w:pPr>
      <w:r>
        <w:rPr>
          <w:rFonts w:ascii="Arial" w:hAnsi="Arial"/>
          <w:color w:val="1A2333"/>
          <w:sz w:val="19"/>
        </w:rPr>
        <w:t>Les travaux sont prévus du [date de début] au [date de fin cible], avec les jalons suivants :</w:t>
      </w:r>
    </w:p>
    <w:p>
      <w:pPr>
        <w:pStyle w:val="ListBullet"/>
        <w:spacing w:after="40"/>
      </w:pPr>
      <w:r>
        <w:rPr>
          <w:rFonts w:ascii="Arial" w:hAnsi="Arial"/>
          <w:color w:val="1A2333"/>
          <w:sz w:val="19"/>
        </w:rPr>
        <w:t>[Jalon 1] - [date]</w:t>
      </w:r>
    </w:p>
    <w:p>
      <w:pPr>
        <w:pStyle w:val="ListBullet"/>
        <w:spacing w:after="40"/>
      </w:pPr>
      <w:r>
        <w:rPr>
          <w:rFonts w:ascii="Arial" w:hAnsi="Arial"/>
          <w:color w:val="1A2333"/>
          <w:sz w:val="19"/>
        </w:rPr>
        <w:t>[Jalon 2] - [date]</w:t>
      </w:r>
    </w:p>
    <w:p>
      <w:pPr>
        <w:pStyle w:val="ListBullet"/>
        <w:spacing w:after="40"/>
      </w:pPr>
      <w:r>
        <w:rPr>
          <w:rFonts w:ascii="Arial" w:hAnsi="Arial"/>
          <w:color w:val="1A2333"/>
          <w:sz w:val="19"/>
        </w:rPr>
        <w:t>[Jalon 3] - [date]</w:t>
      </w:r>
    </w:p>
    <w:p>
      <w:pPr>
        <w:spacing w:before="180" w:after="60"/>
      </w:pPr>
      <w:r>
        <w:rPr>
          <w:rFonts w:ascii="Arial" w:hAnsi="Arial"/>
          <w:b/>
          <w:color w:val="1F49B5"/>
          <w:sz w:val="23"/>
        </w:rPr>
        <w:t>6. Hypothèses et dépendances</w:t>
      </w:r>
    </w:p>
    <w:p>
      <w:pPr>
        <w:spacing w:after="80"/>
      </w:pPr>
      <w:r>
        <w:rPr>
          <w:rFonts w:ascii="Arial" w:hAnsi="Arial"/>
          <w:color w:val="1A2333"/>
          <w:sz w:val="19"/>
        </w:rPr>
        <w:t>Ce plan repose sur les hypothèses suivantes. Toute modification peut affecter le périmètre, le calendrier ou les honoraires :</w:t>
      </w:r>
    </w:p>
    <w:p>
      <w:pPr>
        <w:pStyle w:val="ListBullet"/>
        <w:spacing w:after="40"/>
      </w:pPr>
      <w:r>
        <w:rPr>
          <w:rFonts w:ascii="Arial" w:hAnsi="Arial"/>
          <w:color w:val="1A2333"/>
          <w:sz w:val="19"/>
        </w:rPr>
        <w:t>[Le client fournit ... avant ...]</w:t>
      </w:r>
    </w:p>
    <w:p>
      <w:pPr>
        <w:pStyle w:val="ListBullet"/>
        <w:spacing w:after="40"/>
      </w:pPr>
      <w:r>
        <w:rPr>
          <w:rFonts w:ascii="Arial" w:hAnsi="Arial"/>
          <w:color w:val="1A2333"/>
          <w:sz w:val="19"/>
        </w:rPr>
        <w:t>[Accès, données ou approbations nécessaires]</w:t>
      </w:r>
    </w:p>
    <w:p>
      <w:pPr>
        <w:pStyle w:val="ListBullet"/>
        <w:spacing w:after="40"/>
      </w:pPr>
      <w:r>
        <w:rPr>
          <w:rFonts w:ascii="Arial" w:hAnsi="Arial"/>
          <w:color w:val="1A2333"/>
          <w:sz w:val="19"/>
        </w:rPr>
        <w:t>[Dépendance à un tiers ou à un outil]</w:t>
      </w:r>
    </w:p>
    <w:p>
      <w:pPr>
        <w:spacing w:before="180" w:after="60"/>
      </w:pPr>
      <w:r>
        <w:rPr>
          <w:rFonts w:ascii="Arial" w:hAnsi="Arial"/>
          <w:b/>
          <w:color w:val="1F49B5"/>
          <w:sz w:val="23"/>
        </w:rPr>
        <w:t>7. Honoraires et conditions de paiement</w:t>
      </w:r>
    </w:p>
    <w:p>
      <w:pPr>
        <w:spacing w:after="80"/>
      </w:pPr>
      <w:r>
        <w:rPr>
          <w:rFonts w:ascii="Arial" w:hAnsi="Arial"/>
          <w:color w:val="1A2333"/>
          <w:sz w:val="19"/>
        </w:rPr>
        <w:t>Les honoraires de ces travaux sont [un forfait de [montant] / en régie au taux de [taux] par heure], en [devise].</w:t>
      </w:r>
    </w:p>
    <w:p>
      <w:pPr>
        <w:spacing w:after="80"/>
      </w:pPr>
      <w:r>
        <w:rPr>
          <w:rFonts w:ascii="Arial" w:hAnsi="Arial"/>
          <w:color w:val="1A2333"/>
          <w:sz w:val="19"/>
        </w:rPr>
        <w:t>Les factures sont émises [mensuellement / à l'achèvement des jalons] et payables sous [conditions de paiement]. Les frais pré-approuvés sont facturés [au coût / selon la politique].</w:t>
      </w:r>
    </w:p>
    <w:p>
      <w:pPr>
        <w:spacing w:before="180" w:after="60"/>
      </w:pPr>
      <w:r>
        <w:rPr>
          <w:rFonts w:ascii="Arial" w:hAnsi="Arial"/>
          <w:b/>
          <w:color w:val="1F49B5"/>
          <w:sz w:val="23"/>
        </w:rPr>
        <w:t>8. Recette</w:t>
      </w:r>
    </w:p>
    <w:p>
      <w:pPr>
        <w:spacing w:after="80"/>
      </w:pPr>
      <w:r>
        <w:rPr>
          <w:rFonts w:ascii="Arial" w:hAnsi="Arial"/>
          <w:color w:val="1A2333"/>
          <w:sz w:val="19"/>
        </w:rPr>
        <w:t>[Client] examine chaque livrable sous [délai d'examen] et l'accepte ou transmet des retours écrits. Un livrable est réputé accepté si aucun retour n'est reçu dans ce délai.</w:t>
      </w:r>
    </w:p>
    <w:p>
      <w:pPr>
        <w:spacing w:after="80"/>
      </w:pPr>
      <w:r>
        <w:rPr>
          <w:rFonts w:ascii="Arial" w:hAnsi="Arial"/>
          <w:color w:val="1A2333"/>
          <w:sz w:val="19"/>
        </w:rPr>
        <w:t>Le temps enregistré et les livrables achevés servent de base à la recette et à la facturation.</w:t>
      </w:r>
    </w:p>
    <w:p>
      <w:pPr>
        <w:spacing w:before="180" w:after="60"/>
      </w:pPr>
      <w:r>
        <w:rPr>
          <w:rFonts w:ascii="Arial" w:hAnsi="Arial"/>
          <w:b/>
          <w:color w:val="1F49B5"/>
          <w:sz w:val="23"/>
        </w:rPr>
        <w:t>9. Gestion des changements</w:t>
      </w:r>
    </w:p>
    <w:p>
      <w:pPr>
        <w:spacing w:after="80"/>
      </w:pPr>
      <w:r>
        <w:rPr>
          <w:rFonts w:ascii="Arial" w:hAnsi="Arial"/>
          <w:color w:val="1A2333"/>
          <w:sz w:val="19"/>
        </w:rPr>
        <w:t>Toute modification du périmètre, des livrables, du calendrier ou des honoraires est documentée dans une demande de changement écrite, convenue par les deux parties et annexée à cet énoncé avant sa prise d'effet.</w:t>
      </w:r>
    </w:p>
    <w:p>
      <w:pPr>
        <w:spacing w:before="180" w:after="60"/>
      </w:pPr>
      <w:r>
        <w:rPr>
          <w:rFonts w:ascii="Arial" w:hAnsi="Arial"/>
          <w:b/>
          <w:color w:val="1F49B5"/>
          <w:sz w:val="23"/>
        </w:rPr>
        <w:t>10. Confidentialité et propriété intellectuelle</w:t>
      </w:r>
    </w:p>
    <w:p>
      <w:pPr>
        <w:spacing w:after="80"/>
      </w:pPr>
      <w:r>
        <w:rPr>
          <w:rFonts w:ascii="Arial" w:hAnsi="Arial"/>
          <w:color w:val="1A2333"/>
          <w:sz w:val="19"/>
        </w:rPr>
        <w:t>Chaque partie préserve la confidentialité des informations de l'autre. La propriété des livrables et des droits de propriété intellectuelle est transférée selon [l'accord régissant / la présente section] une fois les honoraires intégralement payés.</w:t>
      </w:r>
    </w:p>
    <w:p>
      <w:pPr>
        <w:spacing w:after="120" w:before="0"/>
      </w:pPr>
    </w:p>
    <w:p>
      <w:pPr>
        <w:spacing w:before="180" w:after="60"/>
      </w:pPr>
      <w:r>
        <w:rPr>
          <w:rFonts w:ascii="Arial" w:hAnsi="Arial"/>
          <w:b/>
          <w:color w:val="1F49B5"/>
          <w:sz w:val="23"/>
        </w:rPr>
        <w:t>Avant de signer</w:t>
      </w:r>
    </w:p>
    <w:p>
      <w:pPr>
        <w:pStyle w:val="ListBullet"/>
        <w:spacing w:after="40"/>
      </w:pPr>
      <w:r>
        <w:rPr>
          <w:rFonts w:ascii="Arial" w:hAnsi="Arial"/>
          <w:color w:val="1A2333"/>
          <w:sz w:val="19"/>
        </w:rPr>
        <w:t>Confirmer le périmètre, les livrables et les éléments hors périmètre avec le client.</w:t>
      </w:r>
    </w:p>
    <w:p>
      <w:pPr>
        <w:pStyle w:val="ListBullet"/>
        <w:spacing w:after="40"/>
      </w:pPr>
      <w:r>
        <w:rPr>
          <w:rFonts w:ascii="Arial" w:hAnsi="Arial"/>
          <w:color w:val="1A2333"/>
          <w:sz w:val="19"/>
        </w:rPr>
        <w:t>Vérifier que chaque jalon a un responsable et une date réaliste.</w:t>
      </w:r>
    </w:p>
    <w:p>
      <w:pPr>
        <w:pStyle w:val="ListBullet"/>
        <w:spacing w:after="40"/>
      </w:pPr>
      <w:r>
        <w:rPr>
          <w:rFonts w:ascii="Arial" w:hAnsi="Arial"/>
          <w:color w:val="1A2333"/>
          <w:sz w:val="19"/>
        </w:rPr>
        <w:t>Confirmer les honoraires, la devise, le calendrier de facturation et les conditions de paiement.</w:t>
      </w:r>
    </w:p>
    <w:p>
      <w:pPr>
        <w:pStyle w:val="ListBullet"/>
        <w:spacing w:after="40"/>
      </w:pPr>
      <w:r>
        <w:rPr>
          <w:rFonts w:ascii="Arial" w:hAnsi="Arial"/>
          <w:color w:val="1A2333"/>
          <w:sz w:val="19"/>
        </w:rPr>
        <w:t>Convenir de la manière dont les livrables sont examinés et acceptés.</w:t>
      </w:r>
    </w:p>
    <w:p>
      <w:pPr>
        <w:pStyle w:val="ListBullet"/>
        <w:spacing w:after="40"/>
      </w:pPr>
      <w:r>
        <w:rPr>
          <w:rFonts w:ascii="Arial" w:hAnsi="Arial"/>
          <w:color w:val="1A2333"/>
          <w:sz w:val="19"/>
        </w:rPr>
        <w:t>Faire réviser l'accord final par un conseiller qualifié lorsque cela compte.</w:t>
      </w:r>
    </w:p>
    <w:p>
      <w:pPr>
        <w:pStyle w:val="ListBullet"/>
        <w:spacing w:after="40"/>
      </w:pPr>
      <w:r>
        <w:rPr>
          <w:rFonts w:ascii="Arial" w:hAnsi="Arial"/>
          <w:color w:val="1A2333"/>
          <w:sz w:val="19"/>
        </w:rPr>
        <w:t>Les deux parties signent et conservent une copie avec les documents du projet.</w:t>
      </w:r>
    </w:p>
    <w:p>
      <w:pPr>
        <w:spacing w:after="120" w:before="0"/>
      </w:pPr>
    </w:p>
    <w:p>
      <w:pPr>
        <w:spacing w:before="120" w:after="80"/>
      </w:pPr>
      <w:r>
        <w:rPr>
          <w:rFonts w:ascii="Arial" w:hAnsi="Arial"/>
          <w:b/>
          <w:color w:val="1F49B5"/>
          <w:sz w:val="23"/>
        </w:rPr>
        <w:t>Signatures</w:t>
      </w:r>
    </w:p>
    <w:tbl>
      <w:tblPr>
        <w:tblW w:type="auto" w:w="0"/>
        <w:jc w:val="center"/>
        <w:tblLayout w:type="fixed"/>
        <w:tblLook w:firstColumn="1" w:firstRow="1" w:lastColumn="0" w:lastRow="0" w:noHBand="0" w:noVBand="1" w:val="04A0"/>
      </w:tblPr>
      <w:tblGrid>
        <w:gridCol w:w="5040"/>
        <w:gridCol w:w="5040"/>
      </w:tblGrid>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Nom et fonction du client</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Signature du client</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Nom et fonction du prestataire</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Signature du prestataire</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signature</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CC0 1.0</w:t>
            </w:r>
          </w:p>
          <w:p>
            <w:pPr>
              <w:spacing w:after="0"/>
            </w:pPr>
            <w:r>
              <w:rPr>
                <w:rFonts w:ascii="Arial" w:hAnsi="Arial"/>
                <w:color w:val="2C3547"/>
                <w:sz w:val="19"/>
              </w:rPr>
              <w:t>Libre de copier, modifier, remarquer et utiliser à des fins commerciales. Ce modèle est un point de départ général, et non un conseil juridique. Un énoncé des travaux peut créer des obligations contraignantes ; faites donc réviser l'accord final par un conseiller qualifié lorsque cela compte.</w:t>
            </w:r>
          </w:p>
        </w:tc>
      </w:tr>
    </w:tbl>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93A6"/>
        <w:sz w:val="16"/>
      </w:rPr>
      <w:t>Modèle gratuit d'énoncé des travaux - Sandtime.io - suivi du temps gratuit pour un nombre illimité d'utilisateurs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d'énoncé des travaux (SOW)</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language>fr-FR</dc:language>
</cp:coreProperties>
</file>