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color w:val="1F49B5"/>
          <w:sz w:val="16"/>
        </w:rPr>
        <w:t>EDYTOWALNY SZABLON POLITYKI</w:t>
      </w:r>
    </w:p>
    <w:p>
      <w:pPr>
        <w:spacing w:after="40"/>
      </w:pPr>
      <w:r>
        <w:rPr>
          <w:rFonts w:ascii="Arial" w:hAnsi="Arial"/>
          <w:b/>
          <w:color w:val="11182B"/>
          <w:sz w:val="42"/>
        </w:rPr>
        <w:t>Polityka urlopowa - szablon</w:t>
      </w:r>
    </w:p>
    <w:p>
      <w:pPr>
        <w:spacing w:after="180"/>
      </w:pPr>
      <w:r>
        <w:rPr>
          <w:rFonts w:ascii="Arial" w:hAnsi="Arial"/>
          <w:color w:val="44506A"/>
          <w:sz w:val="20"/>
        </w:rPr>
        <w:t>Praktyczny punkt wyjścia dla urlopu wypoczynkowego, płatnego czasu wolnego, zwolnień lekarskich i urlopu bezpłatnego oraz tego, jak pracownicy wnioskują o urlop, zatwierdzają go i rejestrują.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Organizacja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[Nazwa organizacji]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Właściciel polityki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[Rola lub osoba]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Data wejścia w życie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[RRRR-MM-DD]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Data przeglądu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[RRRR-MM-DD]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Wersja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[1.0]</w:t>
            </w:r>
          </w:p>
        </w:tc>
      </w:tr>
    </w:tbl>
    <w:p>
      <w:pPr>
        <w:spacing w:after="16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60"/>
            </w:pPr>
            <w:r>
              <w:rPr>
                <w:rFonts w:ascii="Arial" w:hAnsi="Arial"/>
                <w:b/>
                <w:color w:val="051441"/>
                <w:sz w:val="21"/>
              </w:rPr>
              <w:t>Jak korzystać z tego szablonu</w:t>
            </w:r>
          </w:p>
          <w:p>
            <w:pPr>
              <w:spacing w:after="0"/>
            </w:pPr>
            <w:r>
              <w:rPr>
                <w:rFonts w:ascii="Arial" w:hAnsi="Arial"/>
                <w:color w:val="2C3547"/>
                <w:sz w:val="19"/>
              </w:rPr>
              <w:t>Uzupełnij wyróżnione pola i wybierz zapisy oraz rodzaje urlopu, które odpowiadają temu, jak faktycznie działa Twoja organizacja. Usuń przykłady, które nie mają zastosowania. Udostępnij gotową politykę wszystkim, którzy wnioskują o urlop, zatwierdzają go lub rejestrują.</w:t>
            </w:r>
          </w:p>
        </w:tc>
      </w:tr>
    </w:tbl>
    <w:p>
      <w:pPr>
        <w:spacing w:after="10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60"/>
            </w:pPr>
            <w:r>
              <w:rPr>
                <w:rFonts w:ascii="Arial" w:hAnsi="Arial"/>
                <w:b/>
                <w:color w:val="051441"/>
                <w:sz w:val="21"/>
              </w:rPr>
              <w:t>Ważne</w:t>
            </w:r>
          </w:p>
          <w:p>
            <w:pPr>
              <w:spacing w:after="0"/>
            </w:pPr>
            <w:r>
              <w:rPr>
                <w:rFonts w:ascii="Arial" w:hAnsi="Arial"/>
                <w:color w:val="2C3547"/>
                <w:sz w:val="19"/>
              </w:rPr>
              <w:t>Ten szablon to ogólne wskazówki organizacyjne, a nie porada prawna, kadrowa, podatkowa ani z zakresu prawa pracy. Ustawowy wymiar urlopu, terminy zgłaszania, nabywanie prawa, przenoszenie i wynagrodzenie różnią się w zależności od kraju, pracodawcy i umowy. Gdy liczy się zgodność z przepisami, zleć przegląd gotowej polityki wykwalifikowanemu doradcy.</w:t>
            </w:r>
          </w:p>
        </w:tc>
      </w:tr>
    </w:tbl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1. Cel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Ta polityka wyjaśnia, jak [nazwa organizacji] obsługuje nieobecności, aby pracownicy mogli planować odpoczynek i sprawy osobiste, menedżerowie mogli zapewnić ciągłość pracy, a wszyscy opierali się na tym samym przejrzystym zapisie.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Jej celem jest, aby urlop był przewidywalny i sprawiedliwy, bez zbędnych trudności i bez nadzoru.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2. Zakres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Ta polityka dotyczy [pracowników / współpracowników / wybranych zespołów] i obejmuje wymienione poniżej rodzaje urlopu.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Uprawnienia ustawowe obowiązują zawsze, gdy są korzystniejsze niż ta polityka. Gdy umowa lub przepisy lokalne stanowią inaczej, mają one pierwszeństwo.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3. Rodzaje urlopu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Organizacja uwzględnia następujące rodzaje urlopu. Dostosuj listę oraz to, czy urlop jest płatny czy bezpłatny, do przepisów lokalnych i umów.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Urlop wypoczynkowy (płatny czas wolny): [liczba dni w roku]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Zwolnienie lekarskie: [płatne lub bezpłatne, liczba dni, zasady dokumentacji]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Urlop bezpłatny: [kiedy może zostać udzielony]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Urlop na żądanie lub w nagłych wypadkach: [liczba dni, termin zgłoszenia]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Urlop rodzicielski i rodzinny: [zgodnie z przepisami ustawowymi]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Dni wolne od pracy: [lista lub odniesienie]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Inne urlopy: [okolicznościowy, obowiązki publiczne, szkoleniowy itp.]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4. Wymiar i nabywanie prawa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Wymiar urlopu wypoczynkowego wynosi [X dni w roku], nabywany [miesięcznie / na początku roku / w inny sposób]. Wymiar dla osób zatrudnionych w niepełnym wymiarze oblicza się proporcjonalnie.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Nowi pracownicy nabywają prawo od [dnia rozpoczęcia / po okresie próbnym]. Salda są śledzone w [systemie lub arkuszu].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5. Wnioskowanie o urlop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Złóż wniosek przez [kanał / formularz wniosku urlopowego] z co najmniej [wyprzedzeniem] w przypadku urlopu planowanego oraz możliwie najszybciej w przypadku choroby lub nagłych zdarzeń.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Każdy wniosek wskazuje rodzaj urlopu, pierwszy i ostatni dzień oraz liczbę wnioskowanych dni roboczych.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6. Zatwierdzanie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[Menedżer / rola] zatwierdza urlop w oparciu o potrzeby biznesowe, dostępne zastępstwo i pozostałe saldo. Decyzje są zapisywane i szybko przekazywane.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Jeśli wniosek nie może zostać zatwierdzony w złożonej formie, osoba zatwierdzająca proponuje w miarę możliwości inne terminy.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7. Zastępstwo i przekazanie obowiązków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Przed rozpoczęciem zatwierdzonego urlopu pracownik organizuje zastępstwo oraz przekazuje sprawy w toku, terminy i kontakty.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Na czas nieobecności ustawia wiadomość o nieobecności i powiadomienia.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8. Zwolnienie lekarskie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Powiadom [rolę] w pierwszym dniu choroby przez [sposób]. Dokumentacja medyczna jest wymagana po [liczbie] kolejnych dni lub zgodnie z przepisami lokalnymi.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Zwolnienie lekarskie jest traktowane jako [płatne / bezpłatne] zgodnie z [zasadą lub obowiązującym prawem].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9. Urlop bezpłatny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Urlop bezpłatny może zostać udzielony według uznania organizacji, na przykład gdy płatne salda zostały wyczerpane lub uzasadnia to sytuacja.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Jest uzgadniany na piśmie, z zapisanym rodzajem urlopu, datami oraz wpływem na wynagrodzenie i świadczenia.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10. Przenoszenie i wygasanie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Niewykorzystany urlop wypoczynkowy można przenieść do [X dni] do dnia [data]. Urlop przekraczający ten limit wygasa, chyba że przepisy lokalne stanowią inaczej.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Ekwiwalent za niewykorzystany urlop rozlicza się zgodnie z [zasadą / obowiązującym prawem].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11. Rejestry, prywatność i dostęp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Wnioski o urlop, zatwierdzenia i salda są rejestrowane w [systemie / arkuszu] i przechowywane przez [okres]. Dostęp jest ograniczony do [ról].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Przechowuj tylko informacje niezbędne dla procesu. Nie zapisuj danych medycznych ani prywatnych komentarzy wykraczających poza to, co konieczne.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12. Role i obowiązki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Osoby wnioskujące o urlop: planują z wyprzedzeniem, wnioskują w odpowiednim czasie i organizują zastępstwo.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Menedżerowie i osoby zatwierdzające: decydują sprawiedliwie i szybko, dbają o zastępstwo i utrzymują aktualne salda.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Właściciel polityki: utrzymuje tę politykę, rozstrzyga wyjątki i okresowo ją przegląda.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13. Wyjątki i pytania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Wyjątki wymagają zgody [roli] i powinny zawierać powód, okres oraz uzgodnione rozwiązanie.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Pytania kieruj do [osoby kontaktowej lub kanału].</w:t>
      </w:r>
    </w:p>
    <w:p>
      <w:pPr>
        <w:spacing w:after="120" w:before="0"/>
      </w:pP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Lista wdrożeniowa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Zdecyduj, które rodzaje urlopu obowiązują i czy są płatne czy bezpłatne.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Ustal wymiar, nabywanie prawa oraz zasady proporcjonalne dla osób w niepełnym wymiarze i nowych pracowników.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Określ terminy zgłaszania oraz sposób składania i zatwierdzania wniosków.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Uzgodnij zasady zastępstwa, przekazania obowiązków i wiadomości o nieobecności.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Ustal zasady przenoszenia, wygasania i ekwiwalentu.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Zdecyduj, gdzie rejestrowane są salda i kto ma do nich dostęp.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Sprawdź wymogi lokalne, zatwierdź politykę i udostępnij ją zespołowi.</w:t>
      </w:r>
    </w:p>
    <w:p>
      <w:pPr>
        <w:spacing w:after="120" w:before="0"/>
      </w:pPr>
    </w:p>
    <w:p>
      <w:pPr>
        <w:spacing w:before="120" w:after="80"/>
      </w:pPr>
      <w:r>
        <w:rPr>
          <w:rFonts w:ascii="Arial" w:hAnsi="Arial"/>
          <w:b/>
          <w:color w:val="1F49B5"/>
          <w:sz w:val="23"/>
        </w:rPr>
        <w:t>Zatwierdzenie i potwierdzenie zapoznania się z polityką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468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Polityka zatwierdzona przez</w:t>
            </w:r>
          </w:p>
        </w:tc>
        <w:tc>
          <w:tcPr>
            <w:tcW w:type="dxa" w:w="468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</w:r>
          </w:p>
        </w:tc>
      </w:tr>
      <w:tr>
        <w:tc>
          <w:tcPr>
            <w:tcW w:type="dxa" w:w="468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Data zatwierdzenia</w:t>
            </w:r>
          </w:p>
        </w:tc>
        <w:tc>
          <w:tcPr>
            <w:tcW w:type="dxa" w:w="468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</w:r>
          </w:p>
        </w:tc>
      </w:tr>
      <w:tr>
        <w:tc>
          <w:tcPr>
            <w:tcW w:type="dxa" w:w="468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Data następnego przeglądu</w:t>
            </w:r>
          </w:p>
        </w:tc>
        <w:tc>
          <w:tcPr>
            <w:tcW w:type="dxa" w:w="468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</w:r>
          </w:p>
        </w:tc>
      </w:tr>
      <w:tr>
        <w:tc>
          <w:tcPr>
            <w:tcW w:type="dxa" w:w="468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Sposób potwierdzenia przez pracownika</w:t>
            </w:r>
          </w:p>
        </w:tc>
        <w:tc>
          <w:tcPr>
            <w:tcW w:type="dxa" w:w="468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</w:r>
          </w:p>
        </w:tc>
      </w:tr>
    </w:tbl>
    <w:p>
      <w:pPr>
        <w:spacing w:after="16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60"/>
            </w:pPr>
            <w:r>
              <w:rPr>
                <w:rFonts w:ascii="Arial" w:hAnsi="Arial"/>
                <w:b/>
                <w:color w:val="051441"/>
                <w:sz w:val="21"/>
              </w:rPr>
              <w:t>CC0 1.0</w:t>
            </w:r>
          </w:p>
          <w:p>
            <w:pPr>
              <w:spacing w:after="0"/>
            </w:pPr>
            <w:r>
              <w:rPr>
                <w:rFonts w:ascii="Arial" w:hAnsi="Arial"/>
                <w:color w:val="2C3547"/>
                <w:sz w:val="19"/>
              </w:rPr>
              <w:t>Można ją swobodnie kopiować, edytować, zmieniać markę i wykorzystywać komercyjnie. Ten szablon to ogólne wskazówki organizacyjne, a nie porada prawna, kadrowa, podatkowa ani z zakresu prawa pracy. Przepisy lokalne i zobowiązania umowne różnią się między sobą. Gdy liczy się zgodność z przepisami, zleć przegląd gotowej polityki wykwalifikowanemu doradcy.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8A93A6"/>
        <w:sz w:val="16"/>
      </w:rPr>
      <w:t>Darmowy szablon polityki urlopowej - Sandtime.io - darmowa ewidencja czasu pracy dla nieograniczonej liczby użytkowników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urlopowa - szablon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