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1F49B5"/>
          <w:sz w:val="16"/>
        </w:rPr>
        <w:t>EDYTOWALNY SZABLON POLITYKI</w:t>
      </w:r>
    </w:p>
    <w:p>
      <w:pPr>
        <w:spacing w:after="40"/>
      </w:pPr>
      <w:r>
        <w:rPr>
          <w:rFonts w:ascii="Arial" w:hAnsi="Arial"/>
          <w:b/>
          <w:color w:val="11182B"/>
          <w:sz w:val="42"/>
        </w:rPr>
        <w:t>Polityka obecności - szablon</w:t>
      </w:r>
    </w:p>
    <w:p>
      <w:pPr>
        <w:spacing w:after="180"/>
      </w:pPr>
      <w:r>
        <w:rPr>
          <w:rFonts w:ascii="Arial" w:hAnsi="Arial"/>
          <w:color w:val="44506A"/>
          <w:sz w:val="20"/>
        </w:rPr>
        <w:t>Praktyczny punkt wyjścia dla godzin pracy, punktualności, rejestrowania obecności, zgłaszania nieobecności i postępowania w razie spóźnień.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Organizacja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[Nazwa organizacji]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Właściciel polityki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[Rola lub osoba]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wejścia w życie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[RRRR-MM-DD]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przeglądu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[RRRR-MM-DD]</w:t>
            </w:r>
          </w:p>
        </w:tc>
      </w:tr>
      <w:tr>
        <w:tc>
          <w:tcPr>
            <w:tcW w:type="dxa" w:w="30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Wersja</w:t>
            </w:r>
          </w:p>
        </w:tc>
        <w:tc>
          <w:tcPr>
            <w:tcW w:type="dxa" w:w="6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  <w:t>[1.0]</w:t>
            </w:r>
          </w:p>
        </w:tc>
      </w:tr>
    </w:tbl>
    <w:p>
      <w:pPr>
        <w:spacing w:after="16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Jak korzystać z tego szablonu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Uzupełnij wyróżnione pola i wybierz zapisy, które odpowiadają temu, jak działa Twoja organizacja. Usuń przykłady, które nie mają zastosowania. Udostępnij gotową politykę wszystkim, którzy rejestrują obecność lub zarządzają zespołem.</w:t>
            </w:r>
          </w:p>
        </w:tc>
      </w:tr>
    </w:tbl>
    <w:p>
      <w:pPr>
        <w:spacing w:after="10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Ważne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Ten szablon to ogólne wskazówki organizacyjne, a nie porada prawna, kadrowa, podatkowa ani z zakresu prawa pracy. Obowiązki dotyczące czasu pracy, nieobecności, wynagrodzenia chorobowego i dokumentacji różnią się w zależności od kraju, pracodawcy i umowy. Gdy liczy się zgodność z przepisami, zleć przegląd gotowej polityki wykwalifikowanemu doradcy.</w:t>
            </w:r>
          </w:p>
        </w:tc>
      </w:tr>
    </w:tbl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1. Cel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Ta polityka wyjaśnia, jak [nazwa organizacji] zarządza obecnością, aby zespół był niezawodnie obsadzony, a nieobecności rejestrowane i traktowane sprawiedliwie.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Ustala jasne, spójne oczekiwania bez zbędnego monitorowania.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2. Zakres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Ta polityka dotyczy [pracowników / współpracowników / wybranych zespołów].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Gdy umowa lub przepisy lokalne stanowią inaczej, mają one pierwszeństwo.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3. Godziny pracy i punktualność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Standardowe godziny pracy to [godziny]. Bądź gotów rozpocząć na czas; obowiązuje okres tolerancji [minut], zanim spóźnienie zostanie zapisane.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Wszelką zmianę harmonogramu uzgadniaj z [przełożonym] z wyprzedzeniem.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4. Rejestrowanie obecności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Rejestruj obecność za pomocą [zegara / karty czasu pracy / systemu] każdego dnia roboczego.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Upewnij się, że Twój zapis jest kompletny i dokładny przed [terminem].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5. Zgłaszanie nieobecności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Jeśli nie możesz być obecny, powiadom [rolę] przez [sposób] możliwie najwcześniej, nie później niż o [godzinie].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Podaj powód i przewidywaną datę powrotu oraz informuj przełożonego na bieżąco w przypadku dłuższych nieobecności.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6. Rodzaje nieobecności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Planowany urlop podlega [polityce urlopowej / PTO]; nieplanowana nieobecność, taka jak choroba, jest rejestrowana w [rejestrze nieobecności].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Używaj właściwej kategorii, aby zapisy i wynagrodzenie były prawidłowo obsłużone.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7. Spóźnienia i wcześniejsze wyjścia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Powtarzające się spóźnienia lub wcześniejsze wyjścia bez zgody są zapisywane i omawiane z przełożonym.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Uporczywe problemy rozpatrywane są w ramach [odpowiedniej procedury].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8. Nieusprawiedliwiona nieobecność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Nieobecność bez powiadomienia lub zgody traktowana jest jako nieusprawiedliwiona i może być bezpłatna, do czasu wyjaśnienia.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Dwa lub więcej kolejnych dni niewyjaśnionej nieobecności uruchamiają [kontakt / eskalację].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9. Powrót do pracy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Po nieobecności chorobowej [opisz ewentualny krok powrotu do pracy, np. krótką rozmowę].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Dostarcz wszelką dokumentację wymaganą przez [zasadę lub przepisy lokalne].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10. Rejestry, prywatność i monitorowanie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Zapisy obecności przechowywane są w [systemie] przez [okres], z dostępem ograniczonym do [ról].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Obecnością zarządza się poprzez przejrzyste zapisy i rozmowy, a nie nadzór. Przechowuj tylko to, czego wymaga proces.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11. Role i obowiązki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Wszyscy: przychodzą zgodnie z grafikiem, rejestrują obecność i niezwłocznie zgłaszają nieobecność.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Menedżerowie: prowadzą sprawiedliwe zapisy, wcześnie reagują na problemy i wspierają zespół. Właściciel polityki: utrzymuje tę politykę i okresowo ją przegląda.</w:t>
      </w: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12. Wyjątki i przegląd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Wyjątki wymagają zgody [roli], a pytania kieruj do [osoby kontaktowej lub kanału].</w:t>
      </w:r>
    </w:p>
    <w:p>
      <w:pPr>
        <w:spacing w:after="80"/>
      </w:pPr>
      <w:r>
        <w:rPr>
          <w:rFonts w:ascii="Arial" w:hAnsi="Arial"/>
          <w:color w:val="1A2333"/>
          <w:sz w:val="19"/>
        </w:rPr>
        <w:t>Ta polityka jest przeglądana w dniu przeglądu lub gdy wzorce pracy zmieniają się istotnie.</w:t>
      </w:r>
    </w:p>
    <w:p>
      <w:pPr>
        <w:spacing w:after="120" w:before="0"/>
      </w:pPr>
    </w:p>
    <w:p>
      <w:pPr>
        <w:spacing w:before="180" w:after="60"/>
      </w:pPr>
      <w:r>
        <w:rPr>
          <w:rFonts w:ascii="Arial" w:hAnsi="Arial"/>
          <w:b/>
          <w:color w:val="1F49B5"/>
          <w:sz w:val="23"/>
        </w:rPr>
        <w:t>Lista wdrożeniowa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Ustal standardowe godziny, oczekiwania co do punktualności i ewentualny okres tolerancji.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Wybierz sposób rejestrowania obecności każdego dnia.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Określ, jak i kiedy należy zgłaszać nieobecność.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Powiąż rodzaje nieobecności z zapisami urlopów i nieobecności.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Zdecyduj, jak traktowane są spóźnienia i nieusprawiedliwione nieobecności.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Ustal zasady dotyczące zapisów, przechowywania, dostępu i prywatności.</w:t>
      </w:r>
    </w:p>
    <w:p>
      <w:pPr>
        <w:pStyle w:val="ListBullet"/>
        <w:spacing w:after="40"/>
      </w:pPr>
      <w:r>
        <w:rPr>
          <w:rFonts w:ascii="Arial" w:hAnsi="Arial"/>
          <w:color w:val="1A2333"/>
          <w:sz w:val="19"/>
        </w:rPr>
        <w:t>Sprawdź wymogi lokalne, zatwierdź politykę i udostępnij ją zespołowi.</w:t>
      </w:r>
    </w:p>
    <w:p>
      <w:pPr>
        <w:spacing w:after="120" w:before="0"/>
      </w:pPr>
    </w:p>
    <w:p>
      <w:pPr>
        <w:spacing w:before="120" w:after="80"/>
      </w:pPr>
      <w:r>
        <w:rPr>
          <w:rFonts w:ascii="Arial" w:hAnsi="Arial"/>
          <w:b/>
          <w:color w:val="1F49B5"/>
          <w:sz w:val="23"/>
        </w:rPr>
        <w:t>Zatwierdzenie i potwierdzenie zapoznania się z polityką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Polityka zatwierdzona przez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zatwierdzenia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Data następnego przeglądu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  <w:tr>
        <w:tc>
          <w:tcPr>
            <w:tcW w:type="dxa" w:w="468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9"/>
              </w:rPr>
              <w:t>Sposób potwierdzenia przez pracownika</w:t>
            </w:r>
          </w:p>
        </w:tc>
        <w:tc>
          <w:tcPr>
            <w:tcW w:type="dxa" w:w="468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9"/>
              </w:rPr>
            </w:r>
          </w:p>
        </w:tc>
      </w:tr>
    </w:tbl>
    <w:p>
      <w:pPr>
        <w:spacing w:after="16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70" w:type="dxa"/>
              <w:bottom w:w="70" w:type="dxa"/>
              <w:left w:w="120" w:type="dxa"/>
              <w:right w:w="120" w:type="dxa"/>
            </w:tcMar>
          </w:tcPr>
          <w:p>
            <w:pPr>
              <w:spacing w:after="60"/>
            </w:pPr>
            <w:r>
              <w:rPr>
                <w:rFonts w:ascii="Arial" w:hAnsi="Arial"/>
                <w:b/>
                <w:color w:val="051441"/>
                <w:sz w:val="21"/>
              </w:rPr>
              <w:t>CC0 1.0</w:t>
            </w:r>
          </w:p>
          <w:p>
            <w:pPr>
              <w:spacing w:after="0"/>
            </w:pPr>
            <w:r>
              <w:rPr>
                <w:rFonts w:ascii="Arial" w:hAnsi="Arial"/>
                <w:color w:val="2C3547"/>
                <w:sz w:val="19"/>
              </w:rPr>
              <w:t>Można ją swobodnie kopiować, edytować, zmieniać markę i wykorzystywać komercyjnie. Ten szablon to ogólne wskazówki organizacyjne, a nie porada prawna, kadrowa, podatkowa ani z zakresu prawa pracy. Przepisy lokalne i zobowiązania umowne różnią się między sobą. Gdy liczy się zgodność z przepisami, zleć przegląd gotowej polityki wykwalifikowanemu doradcy.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93A6"/>
        <w:sz w:val="16"/>
      </w:rPr>
      <w:t>Darmowy szablon polityki obecności - Sandtime.io - darmowa ewidencja czasu pracy dla nieograniczonej liczby użytkowników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obecności - szablon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